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1" w:line="187" w:lineRule="auto"/>
        <w:ind w:firstLine="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附件一：</w:t>
      </w:r>
    </w:p>
    <w:p>
      <w:pPr>
        <w:spacing w:line="244" w:lineRule="auto"/>
        <w:rPr>
          <w:rFonts w:ascii="Times New Roman"/>
          <w:sz w:val="21"/>
        </w:rPr>
      </w:pPr>
    </w:p>
    <w:p>
      <w:pPr>
        <w:spacing w:before="163" w:line="346" w:lineRule="auto"/>
        <w:ind w:left="3765" w:right="131" w:hanging="3723"/>
        <w:rPr>
          <w:rFonts w:ascii="华文中宋" w:hAnsi="华文中宋" w:eastAsia="华文中宋" w:cs="华文中宋"/>
          <w:sz w:val="44"/>
          <w:szCs w:val="44"/>
        </w:rPr>
      </w:pPr>
      <w:bookmarkStart w:id="0" w:name="_GoBack"/>
      <w:r>
        <w:rPr>
          <w:rFonts w:ascii="华文中宋" w:hAnsi="华文中宋" w:eastAsia="华文中宋" w:cs="华文中宋"/>
          <w:spacing w:val="-2"/>
          <w:sz w:val="44"/>
          <w:szCs w:val="44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北京理工大学“世纪杯”学生课外学术科技作品</w:t>
      </w:r>
      <w:r>
        <w:rPr>
          <w:rFonts w:ascii="华文中宋" w:hAnsi="华文中宋" w:eastAsia="华文中宋" w:cs="华文中宋"/>
          <w:spacing w:val="13"/>
          <w:sz w:val="44"/>
          <w:szCs w:val="44"/>
        </w:rPr>
        <w:t xml:space="preserve"> </w:t>
      </w:r>
      <w:r>
        <w:rPr>
          <w:rFonts w:ascii="华文中宋" w:hAnsi="华文中宋" w:eastAsia="华文中宋" w:cs="华文中宋"/>
          <w:spacing w:val="-5"/>
          <w:sz w:val="44"/>
          <w:szCs w:val="44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竞赛章程</w:t>
      </w:r>
    </w:p>
    <w:bookmarkEnd w:id="0"/>
    <w:p>
      <w:pPr>
        <w:spacing w:line="406" w:lineRule="auto"/>
        <w:rPr>
          <w:rFonts w:ascii="Times New Roman"/>
          <w:sz w:val="21"/>
        </w:rPr>
      </w:pPr>
    </w:p>
    <w:p>
      <w:pPr>
        <w:spacing w:before="104" w:line="188" w:lineRule="auto"/>
        <w:ind w:firstLine="35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第一章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总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则</w:t>
      </w:r>
    </w:p>
    <w:p>
      <w:pPr>
        <w:spacing w:before="297" w:line="360" w:lineRule="auto"/>
        <w:ind w:left="1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第一条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北京理工大学“世纪杯”学生课外学术科技作品竞赛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是由北京理工大学主办，校团委、学生创新创业实践中心共同承办，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每年举办一届。竞赛在各学院的大力支持下开展，具有导向性、示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范性和群众性并独具北理工特色、彰显北理工文化、践行素质教育、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弘扬创新精神的大学生课外科技创新活动。</w:t>
      </w:r>
    </w:p>
    <w:p>
      <w:pPr>
        <w:spacing w:line="274" w:lineRule="auto"/>
        <w:ind w:left="2" w:right="112" w:firstLine="65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第二条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竞赛的宗旨：</w:t>
      </w:r>
      <w:r>
        <w:rPr>
          <w:rFonts w:ascii="仿宋" w:hAnsi="仿宋" w:eastAsia="仿宋" w:cs="仿宋"/>
          <w:spacing w:val="7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崇尚科学、追求真知、勤奋学习、锐意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创新、服务奉献。</w:t>
      </w:r>
    </w:p>
    <w:p>
      <w:pPr>
        <w:spacing w:before="297" w:line="360" w:lineRule="auto"/>
        <w:ind w:right="110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第三条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1"/>
          <w:sz w:val="32"/>
          <w:szCs w:val="32"/>
        </w:rPr>
        <w:t>竞赛的目的：</w:t>
      </w:r>
      <w:r>
        <w:rPr>
          <w:rFonts w:ascii="仿宋" w:hAnsi="仿宋" w:eastAsia="仿宋" w:cs="仿宋"/>
          <w:spacing w:val="6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激发学生的学术科技兴趣，引导学生实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事求是、刻苦钻研的精神，提高学生的创新实践能力，培养在学术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科技上有作为、有潜力的优秀人才；</w:t>
      </w:r>
      <w:r>
        <w:rPr>
          <w:rFonts w:ascii="仿宋" w:hAnsi="仿宋" w:eastAsia="仿宋" w:cs="仿宋"/>
          <w:spacing w:val="9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营造北理工校园良好的学术文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化氛围，形成具有北理工特色的大学文化。</w:t>
      </w:r>
    </w:p>
    <w:p>
      <w:pPr>
        <w:spacing w:line="360" w:lineRule="auto"/>
        <w:ind w:right="110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第四条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竞赛的基本方式：</w:t>
      </w:r>
      <w:r>
        <w:rPr>
          <w:rFonts w:ascii="仿宋" w:hAnsi="仿宋" w:eastAsia="仿宋" w:cs="仿宋"/>
          <w:spacing w:val="-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我校学生以学院/书院为单位按照科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技发明制作、</w:t>
      </w:r>
      <w:r>
        <w:rPr>
          <w:rFonts w:ascii="仿宋" w:hAnsi="仿宋" w:eastAsia="仿宋" w:cs="仿宋"/>
          <w:spacing w:val="-7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自然科学类学术论文、哲学社会科学类社会调查报告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和学术论文等三类申报参赛；</w:t>
      </w:r>
      <w:r>
        <w:rPr>
          <w:rFonts w:ascii="仿宋" w:hAnsi="仿宋" w:eastAsia="仿宋" w:cs="仿宋"/>
          <w:spacing w:val="9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聘请专家评定出具有较高科技及学术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理论水平、实际应用价值和创新意义的优秀作品，并给予奖励；</w:t>
      </w:r>
      <w:r>
        <w:rPr>
          <w:rFonts w:ascii="仿宋" w:hAnsi="仿宋" w:eastAsia="仿宋" w:cs="仿宋"/>
          <w:spacing w:val="9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鼓</w:t>
      </w:r>
    </w:p>
    <w:p>
      <w:pPr>
        <w:sectPr>
          <w:footerReference r:id="rId5" w:type="default"/>
          <w:pgSz w:w="11906" w:h="16839"/>
          <w:pgMar w:top="1431" w:right="1137" w:bottom="1767" w:left="1381" w:header="0" w:footer="1545" w:gutter="0"/>
          <w:cols w:space="720" w:num="1"/>
        </w:sectPr>
      </w:pPr>
    </w:p>
    <w:p>
      <w:pPr>
        <w:spacing w:before="311" w:line="360" w:lineRule="auto"/>
        <w:ind w:left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励作品发表，组织作品出版，组织学术交流和学术科技成果的展览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及成果转让与转化。</w:t>
      </w:r>
    </w:p>
    <w:p>
      <w:pPr>
        <w:spacing w:line="204" w:lineRule="auto"/>
        <w:ind w:firstLine="27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第二章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组织机构及其职责</w:t>
      </w:r>
    </w:p>
    <w:p>
      <w:pPr>
        <w:spacing w:before="268" w:line="341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第五条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sz w:val="32"/>
          <w:szCs w:val="32"/>
        </w:rPr>
        <w:t>竞赛设立组织委员会，由主管校领导党委办公室/行政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办公室、人力资源部、学生工作部、教务部、研究生院、科学技术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研究院、资产与实验室管理处、校团委、教师发展中心、学生就业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指导中心、学生创新创业实践中心相关负责人及各学院/书院主管学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生创新创业工作的院领导组成。组织委员会设主任一名，副主任若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干名，委员若干名，秘书一名。组委会成员负责指导竞赛活动，有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权对竞赛活动提出意见和建议，并根据各个项目类型的具体竞赛情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况调整各个项目类型评奖数量及比例，并对各学院提交的意见和建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议进行协调和裁决。</w:t>
      </w:r>
    </w:p>
    <w:p>
      <w:pPr>
        <w:spacing w:before="298" w:line="188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第六条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组织委员会的职责如下：</w:t>
      </w:r>
    </w:p>
    <w:p>
      <w:pPr>
        <w:spacing w:before="298" w:line="188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1．审议、修改竞赛的章程和评审规则；</w:t>
      </w:r>
    </w:p>
    <w:p>
      <w:pPr>
        <w:spacing w:before="298" w:line="188" w:lineRule="auto"/>
        <w:ind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2．协商议决组织工作中的重大问题；</w:t>
      </w:r>
    </w:p>
    <w:p>
      <w:pPr>
        <w:spacing w:before="298" w:line="188" w:lineRule="auto"/>
        <w:ind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3．筹集竞赛组织、评审、奖励所需的经费；</w:t>
      </w:r>
    </w:p>
    <w:p>
      <w:pPr>
        <w:spacing w:before="298" w:line="188" w:lineRule="auto"/>
        <w:ind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4．判定受到质疑和投诉的作品或作者；</w:t>
      </w:r>
    </w:p>
    <w:p>
      <w:pPr>
        <w:spacing w:before="298" w:line="188" w:lineRule="auto"/>
        <w:ind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5．议决其它应由组织委员会议决的事项。</w:t>
      </w:r>
    </w:p>
    <w:p>
      <w:pPr>
        <w:spacing w:before="298" w:line="360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第七条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评审委员会由竞赛组织委员会聘请校内外具有高级职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称或具有博士学位的相关专业专家、学者组成。评审委员会设主任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一名，副主任若干名，评审委员若干名，秘书一名。下设若干专业</w:t>
      </w:r>
    </w:p>
    <w:p>
      <w:pPr>
        <w:sectPr>
          <w:footerReference r:id="rId6" w:type="default"/>
          <w:pgSz w:w="11906" w:h="16839"/>
          <w:pgMar w:top="1431" w:right="1247" w:bottom="1767" w:left="1380" w:header="0" w:footer="1549" w:gutter="0"/>
          <w:cols w:space="720" w:num="1"/>
        </w:sectPr>
      </w:pPr>
    </w:p>
    <w:p>
      <w:pPr>
        <w:spacing w:before="312" w:line="188" w:lineRule="auto"/>
        <w:ind w:firstLine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组，各组设组长一至二名。</w:t>
      </w:r>
    </w:p>
    <w:p>
      <w:pPr>
        <w:spacing w:before="297" w:line="360" w:lineRule="auto"/>
        <w:ind w:firstLine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评审委员会一经组织委员会批准成立，则有权在本章程和评审</w:t>
      </w:r>
      <w:r>
        <w:rPr>
          <w:rFonts w:ascii="仿宋" w:hAnsi="仿宋" w:eastAsia="仿宋" w:cs="仿宋"/>
          <w:spacing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规则所规定的原则下，独立开展评审工作。</w:t>
      </w:r>
    </w:p>
    <w:p>
      <w:pPr>
        <w:spacing w:line="204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第八条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评审委员会职责如下：</w:t>
      </w:r>
    </w:p>
    <w:p>
      <w:pPr>
        <w:spacing w:before="270" w:line="188" w:lineRule="auto"/>
        <w:ind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1．在本章程和评审规则基础上制定评审实施细则；</w:t>
      </w:r>
    </w:p>
    <w:p>
      <w:pPr>
        <w:spacing w:before="298" w:line="188" w:lineRule="auto"/>
        <w:ind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2．审看参赛作品及其演示，对作者进行问辩及质询；</w:t>
      </w:r>
    </w:p>
    <w:p>
      <w:pPr>
        <w:spacing w:before="298" w:line="188" w:lineRule="auto"/>
        <w:ind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3．初步判定受到质疑和投诉的作品或作者；</w:t>
      </w:r>
    </w:p>
    <w:p>
      <w:pPr>
        <w:spacing w:before="298" w:line="188" w:lineRule="auto"/>
        <w:ind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4．在竞赛领导小组的协同下，确定获奖作品等次名单。</w:t>
      </w:r>
    </w:p>
    <w:p>
      <w:pPr>
        <w:spacing w:before="297" w:line="360" w:lineRule="auto"/>
        <w:ind w:left="2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第九条</w:t>
      </w:r>
      <w:r>
        <w:rPr>
          <w:rFonts w:ascii="仿宋" w:hAnsi="仿宋" w:eastAsia="仿宋" w:cs="仿宋"/>
          <w:spacing w:val="3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9"/>
          <w:sz w:val="32"/>
          <w:szCs w:val="32"/>
        </w:rPr>
        <w:t>由各学院/书院主管学生、教学和科研工作的领导担任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本学院的竞赛领导小组成员，负责作品的动员和参赛；</w:t>
      </w:r>
      <w:r>
        <w:rPr>
          <w:rFonts w:ascii="仿宋" w:hAnsi="仿宋" w:eastAsia="仿宋" w:cs="仿宋"/>
          <w:spacing w:val="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原则上由各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学院/书院团委书记担任该学院领导小组的秘书。</w:t>
      </w:r>
    </w:p>
    <w:p>
      <w:pPr>
        <w:spacing w:line="258" w:lineRule="auto"/>
        <w:rPr>
          <w:rFonts w:ascii="Times New Roman"/>
          <w:sz w:val="21"/>
        </w:rPr>
      </w:pPr>
    </w:p>
    <w:p>
      <w:pPr>
        <w:spacing w:line="259" w:lineRule="auto"/>
        <w:rPr>
          <w:rFonts w:ascii="Times New Roman"/>
          <w:sz w:val="21"/>
        </w:rPr>
      </w:pPr>
    </w:p>
    <w:p>
      <w:pPr>
        <w:spacing w:before="105" w:line="188" w:lineRule="auto"/>
        <w:ind w:firstLine="25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第三章</w:t>
      </w:r>
      <w:r>
        <w:rPr>
          <w:rFonts w:ascii="仿宋" w:hAnsi="仿宋" w:eastAsia="仿宋" w:cs="仿宋"/>
          <w:spacing w:val="19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参赛资格与作品申报</w:t>
      </w:r>
    </w:p>
    <w:p>
      <w:pPr>
        <w:spacing w:before="297" w:line="360" w:lineRule="auto"/>
        <w:ind w:left="2" w:right="2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第十条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凡在竞赛当学期初正式注册的全日制非成人教育在校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本科生、硕士研究生（均不含在职研究生）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都可申报作品参赛。</w:t>
      </w:r>
    </w:p>
    <w:p>
      <w:pPr>
        <w:spacing w:line="360" w:lineRule="auto"/>
        <w:ind w:left="2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第十一条</w:t>
      </w:r>
      <w:r>
        <w:rPr>
          <w:rFonts w:ascii="仿宋" w:hAnsi="仿宋" w:eastAsia="仿宋" w:cs="仿宋"/>
          <w:spacing w:val="4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申报参赛的作品必须是竞赛终审决赛的前两年内完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成的学生学术科技作品或社会实践活动成果，可分为个人作品和集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体作品。申报个人作品的，申报者必须承担申报作品</w:t>
      </w:r>
      <w:r>
        <w:rPr>
          <w:rFonts w:ascii="仿宋" w:hAnsi="仿宋" w:eastAsia="仿宋" w:cs="仿宋"/>
          <w:spacing w:val="-4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60％以上的研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究工作，作品鉴定证书、专利证书及发表的有关作品上的署名均应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为第一作者，合作者必须是学生且不得超过两人；</w:t>
      </w:r>
      <w:r>
        <w:rPr>
          <w:rFonts w:ascii="仿宋" w:hAnsi="仿宋" w:eastAsia="仿宋" w:cs="仿宋"/>
          <w:spacing w:val="9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凡作者超过三人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的项目或者不超过三人，但无法区分第一作者的项目，均须申报集</w:t>
      </w:r>
    </w:p>
    <w:p>
      <w:pPr>
        <w:sectPr>
          <w:footerReference r:id="rId7" w:type="default"/>
          <w:pgSz w:w="11906" w:h="16839"/>
          <w:pgMar w:top="1431" w:right="1247" w:bottom="1767" w:left="1380" w:header="0" w:footer="1549" w:gutter="0"/>
          <w:cols w:space="720" w:num="1"/>
        </w:sectPr>
      </w:pPr>
    </w:p>
    <w:p>
      <w:pPr>
        <w:spacing w:before="311" w:line="360" w:lineRule="auto"/>
        <w:ind w:left="1" w:right="1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体作品，集体作品的作者必须均为学生。凡有合作者的个人作品或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集体作品，均按学历最高的作者划分至本科生、硕士研究生类进行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评审。</w:t>
      </w:r>
    </w:p>
    <w:p>
      <w:pPr>
        <w:spacing w:line="204" w:lineRule="auto"/>
        <w:ind w:firstLine="6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毕业设计和课程设计（论文）、学年论文和学位论文均不在申报</w:t>
      </w:r>
    </w:p>
    <w:p>
      <w:pPr>
        <w:spacing w:before="270" w:line="188" w:lineRule="auto"/>
        <w:ind w:firstLine="1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范围之列。</w:t>
      </w:r>
    </w:p>
    <w:p>
      <w:pPr>
        <w:spacing w:before="297" w:line="360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第十二条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竞赛采用“分类申报、分类评比、综合评奖”的申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报和评审办法。</w:t>
      </w:r>
      <w:r>
        <w:rPr>
          <w:rFonts w:ascii="仿宋" w:hAnsi="仿宋" w:eastAsia="仿宋" w:cs="仿宋"/>
          <w:spacing w:val="-7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申报参赛的作品分为自然科学类学术论文、哲学社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会科学类社会调查报告和学术论文、科技发明制作三大类。</w:t>
      </w:r>
      <w:r>
        <w:rPr>
          <w:rFonts w:ascii="仿宋" w:hAnsi="仿宋" w:eastAsia="仿宋" w:cs="仿宋"/>
          <w:spacing w:val="-7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自然科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学类学术论文参赛人员仅限本科生，必须是该本科生参与的在学术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刊物上已公开发表或已录用的论文的全部或一部分。哲学社会科学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类社会调查报告和学术论文限定在哲学、经济、社会、法律、教育、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管理六个学科内，需在个人或团队社会调研取得第一手数据（问卷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调查、实际走访等形式）</w:t>
      </w:r>
      <w:r>
        <w:rPr>
          <w:rFonts w:ascii="仿宋" w:hAnsi="仿宋" w:eastAsia="仿宋" w:cs="仿宋"/>
          <w:spacing w:val="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的基础上完成。科技发明制作类分为</w:t>
      </w:r>
      <w:r>
        <w:rPr>
          <w:rFonts w:ascii="仿宋" w:hAnsi="仿宋" w:eastAsia="仿宋" w:cs="仿宋"/>
          <w:spacing w:val="-7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A、B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两类（A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类指科技含量较高、制作投入较大的作品；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B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w w:val="99"/>
          <w:sz w:val="32"/>
          <w:szCs w:val="32"/>
        </w:rPr>
        <w:t>类指投入较少，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且为生产技术或社会生活带来便利的小发明、小制作等</w:t>
      </w:r>
      <w:r>
        <w:rPr>
          <w:rFonts w:ascii="仿宋" w:hAnsi="仿宋" w:eastAsia="仿宋" w:cs="仿宋"/>
          <w:spacing w:val="-106"/>
          <w:sz w:val="32"/>
          <w:szCs w:val="32"/>
        </w:rPr>
        <w:t>），</w:t>
      </w:r>
      <w:r>
        <w:rPr>
          <w:rFonts w:ascii="仿宋" w:hAnsi="仿宋" w:eastAsia="仿宋" w:cs="仿宋"/>
          <w:spacing w:val="-4"/>
          <w:sz w:val="32"/>
          <w:szCs w:val="32"/>
        </w:rPr>
        <w:t>按照四个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项目类别申报：</w:t>
      </w:r>
      <w:r>
        <w:rPr>
          <w:rFonts w:ascii="仿宋" w:hAnsi="仿宋" w:eastAsia="仿宋" w:cs="仿宋"/>
          <w:spacing w:val="8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机械控制、信息技术、材料化工、数理生命。</w:t>
      </w:r>
    </w:p>
    <w:p>
      <w:pPr>
        <w:spacing w:before="4" w:line="302" w:lineRule="auto"/>
        <w:ind w:right="110" w:firstLine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原则上，科技发明制作类作品要求包含可运行展示的实物作品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和项目论文。跨学科的项目作品选择一项突出其最主要特点的类别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进行申报。</w:t>
      </w:r>
    </w:p>
    <w:p>
      <w:pPr>
        <w:spacing w:before="297" w:line="360" w:lineRule="auto"/>
        <w:ind w:left="5" w:right="110" w:firstLine="69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自然科学类学术论文应侧重基础学科学术探索的前沿性和学术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性。哲学社会科学类社会调查报告和学术论文应侧重与社会发展热</w:t>
      </w:r>
    </w:p>
    <w:p>
      <w:pPr>
        <w:sectPr>
          <w:footerReference r:id="rId8" w:type="default"/>
          <w:pgSz w:w="11906" w:h="16839"/>
          <w:pgMar w:top="1431" w:right="1137" w:bottom="1767" w:left="1381" w:header="0" w:footer="1545" w:gutter="0"/>
          <w:cols w:space="720" w:num="1"/>
        </w:sectPr>
      </w:pPr>
    </w:p>
    <w:p>
      <w:pPr>
        <w:spacing w:before="308" w:line="326" w:lineRule="auto"/>
        <w:ind w:right="95" w:firstLine="2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点难点问题的结合程度和前瞻意义，支持重走红色足迹、追溯红色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记忆、访谈红色人物、挖掘红色故事、体悟红色文化，感受党的红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色精神伟力；</w:t>
      </w:r>
      <w:r>
        <w:rPr>
          <w:rFonts w:ascii="仿宋" w:hAnsi="仿宋" w:eastAsia="仿宋" w:cs="仿宋"/>
          <w:spacing w:val="10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支持返回家乡看变化、重走故地看新颜、深入乡村看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振兴、走进一线看发展，感受我国经济快速发展和社会长期稳定的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生动实践。科技发明制作应侧重作品的应用价值和转化前景。</w:t>
      </w:r>
    </w:p>
    <w:p>
      <w:pPr>
        <w:spacing w:before="297" w:line="360" w:lineRule="auto"/>
        <w:ind w:firstLine="65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第十三条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参赛作品涉及下列内容时，必须由申报者提供有关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部门的证明材料，否则不予评审。动植物新品种的发现或培育，须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有省级以上农科部门或科研院所开具证明；</w:t>
      </w:r>
      <w:r>
        <w:rPr>
          <w:rFonts w:ascii="仿宋" w:hAnsi="仿宋" w:eastAsia="仿宋" w:cs="仿宋"/>
          <w:spacing w:val="10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对国家保护动植物的研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究，须有省级以上林业部门开具证明，证明该项研究的过程中未产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生对所研究的动植物繁衍、生长不利的影响；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新药物的研究,须有卫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生行政部门授权机构的鉴定证明；</w:t>
      </w:r>
      <w:r>
        <w:rPr>
          <w:rFonts w:ascii="仿宋" w:hAnsi="仿宋" w:eastAsia="仿宋" w:cs="仿宋"/>
          <w:spacing w:val="1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医疗卫生研究须通过专家鉴定，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并最好附有在公开发行的专业性杂志上发表过的文章；</w:t>
      </w:r>
      <w:r>
        <w:rPr>
          <w:rFonts w:ascii="仿宋" w:hAnsi="仿宋" w:eastAsia="仿宋" w:cs="仿宋"/>
          <w:spacing w:val="10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涉及燃气用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具等与人民生命财产安全有关用具的研究，须有国家相应行政部门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授权机构的认定证明。为党政机关、企事业单位所做的各类发展规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划、改革方案和咨询报告等的作品也可申请参加哲学社会科学类竞</w:t>
      </w:r>
      <w:r>
        <w:rPr>
          <w:rFonts w:ascii="仿宋" w:hAnsi="仿宋" w:eastAsia="仿宋" w:cs="仿宋"/>
          <w:spacing w:val="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赛。包含已被采用的发展规划、改革方案和咨询报告等内容的作品，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须同时附上原件及采用单位使用证明的复印件和有关鉴定材料。</w:t>
      </w:r>
    </w:p>
    <w:p>
      <w:pPr>
        <w:spacing w:before="6" w:line="359" w:lineRule="auto"/>
        <w:ind w:left="4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第十四条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 </w:t>
      </w:r>
      <w:r>
        <w:rPr>
          <w:rFonts w:ascii="仿宋" w:hAnsi="仿宋" w:eastAsia="仿宋" w:cs="仿宋"/>
          <w:sz w:val="32"/>
          <w:szCs w:val="32"/>
        </w:rPr>
        <w:t xml:space="preserve">考虑到优秀作品需要连续积累和较长时间的制作， </w:t>
      </w:r>
      <w:r>
        <w:rPr>
          <w:rFonts w:ascii="仿宋" w:hAnsi="仿宋" w:eastAsia="仿宋" w:cs="仿宋"/>
          <w:spacing w:val="-1"/>
          <w:sz w:val="32"/>
          <w:szCs w:val="32"/>
        </w:rPr>
        <w:t>部分创新点比较突出、有望取得较大成果的往届部分科技发明制作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类作品，如有重大改进和提高，经学院严格评审并报组委会批准后，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可再次参加“世纪杯”竞赛。在申报时，要提前说明本次参加竞赛</w:t>
      </w:r>
    </w:p>
    <w:p>
      <w:pPr>
        <w:sectPr>
          <w:footerReference r:id="rId9" w:type="default"/>
          <w:pgSz w:w="11906" w:h="16839"/>
          <w:pgMar w:top="1431" w:right="1152" w:bottom="1767" w:left="1378" w:header="0" w:footer="1549" w:gutter="0"/>
          <w:cols w:space="720" w:num="1"/>
        </w:sectPr>
      </w:pPr>
    </w:p>
    <w:p>
      <w:pPr>
        <w:spacing w:before="310" w:line="341" w:lineRule="auto"/>
        <w:ind w:firstLine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评审是作品整体参评还是仅就作品新做出的重大改进与提高部分参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评。当项目的第一作者未发生变化时，该项目既可以整体参评也可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以仅就作品新做出的重大改进与提高部分参评。此时如果项目整体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参评,则参加本次项目的前次作者只能在两次的评审结果中选择一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次的评审结果作为奖励，其他新加入的作者将以本次评审结果为奖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励；</w:t>
      </w:r>
      <w:r>
        <w:rPr>
          <w:rFonts w:ascii="仿宋" w:hAnsi="仿宋" w:eastAsia="仿宋" w:cs="仿宋"/>
          <w:spacing w:val="9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如果仅就作品新做出的重大改进与提高部分参评，则本次所获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奖项与前次无关。当项目第一作者发生变化时，该项目只能就作品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新做出的重大改进与提高部分参评，不能整体参评，所获奖项与前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次获得奖项无关。</w:t>
      </w:r>
    </w:p>
    <w:p>
      <w:pPr>
        <w:spacing w:before="297" w:line="360" w:lineRule="auto"/>
        <w:ind w:left="2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第十五条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科技发明制作类作品必须附带项目论文，论文须按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统一格式书写，字数在</w:t>
      </w:r>
      <w:r>
        <w:rPr>
          <w:rFonts w:ascii="仿宋" w:hAnsi="仿宋" w:eastAsia="仿宋" w:cs="仿宋"/>
          <w:spacing w:val="-6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3000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字以上，论文评分记入作品总分。自然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科学类论文须为相关基础学科领域的研究论文，科技发明制作类项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目的论文原则上不能申报自然科学类论文的评审评奖。哲学社会科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学类作品若为调查报告，每篇字数在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8000</w:t>
      </w:r>
      <w:r>
        <w:rPr>
          <w:rFonts w:ascii="仿宋" w:hAnsi="仿宋" w:eastAsia="仿宋" w:cs="仿宋"/>
          <w:spacing w:val="-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至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15000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字之间，若为学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术论文，每篇字数在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5000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至</w:t>
      </w:r>
      <w:r>
        <w:rPr>
          <w:rFonts w:ascii="仿宋" w:hAnsi="仿宋" w:eastAsia="仿宋" w:cs="仿宋"/>
          <w:spacing w:val="-6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8000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字之间。英文论文在</w:t>
      </w:r>
      <w:r>
        <w:rPr>
          <w:rFonts w:ascii="仿宋" w:hAnsi="仿宋" w:eastAsia="仿宋" w:cs="仿宋"/>
          <w:spacing w:val="-6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4000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单词以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上，同时必须提交中文对照版论文。</w:t>
      </w:r>
    </w:p>
    <w:p>
      <w:pPr>
        <w:spacing w:before="3" w:line="302" w:lineRule="auto"/>
        <w:ind w:left="7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第十六条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原则上，对于各类参赛作品，第一作者的工作量应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不低于整个项目工作量的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40%，其余作者要求每个人的工作量不低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于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10%。</w:t>
      </w:r>
    </w:p>
    <w:p>
      <w:pPr>
        <w:spacing w:before="297" w:line="360" w:lineRule="auto"/>
        <w:ind w:left="15" w:firstLine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第十八条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各参赛作品须由第一作者申报，不得由其他作者重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复申报。</w:t>
      </w:r>
    </w:p>
    <w:p>
      <w:pPr>
        <w:sectPr>
          <w:footerReference r:id="rId10" w:type="default"/>
          <w:pgSz w:w="11906" w:h="16839"/>
          <w:pgMar w:top="1431" w:right="1247" w:bottom="1767" w:left="1380" w:header="0" w:footer="1545" w:gutter="0"/>
          <w:cols w:space="720" w:num="1"/>
        </w:sectPr>
      </w:pPr>
    </w:p>
    <w:p>
      <w:pPr>
        <w:spacing w:before="312" w:line="188" w:lineRule="auto"/>
        <w:ind w:firstLine="321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第四章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评审与奖励</w:t>
      </w:r>
    </w:p>
    <w:p>
      <w:pPr>
        <w:spacing w:before="294" w:line="343" w:lineRule="auto"/>
        <w:ind w:right="107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第十八条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综合考虑作品的科学性、创新性、实用性，评审委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员会对参赛作品按照第十二条中所述三大项目类型分类分组评审，</w:t>
      </w:r>
      <w:r>
        <w:rPr>
          <w:rFonts w:ascii="仿宋" w:hAnsi="仿宋" w:eastAsia="仿宋" w:cs="仿宋"/>
          <w:spacing w:val="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本科生、研究生作品按照组别单独评奖。在七个项目类型中均设特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等奖、一等奖、二等奖、三等奖，特等奖的产生必须经过答辩并由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组委会和评委会的合议产生，可以空缺。学术科技作品竞赛各奖项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的项目数量按照参赛身份和比例来授予各个奖项，其中本科生获奖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项目分别不得超过该类参赛作品总数的</w:t>
      </w:r>
      <w:r>
        <w:rPr>
          <w:rFonts w:ascii="仿宋" w:hAnsi="仿宋" w:eastAsia="仿宋" w:cs="仿宋"/>
          <w:spacing w:val="-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2%、6%、12%、20%，研究生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获奖项目分别不得超过该类参赛作品总数的</w:t>
      </w:r>
      <w:r>
        <w:rPr>
          <w:rFonts w:ascii="仿宋" w:hAnsi="仿宋" w:eastAsia="仿宋" w:cs="仿宋"/>
          <w:spacing w:val="-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1%、4%、15%、20%。竞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赛组委会经过全体讨论通过，可以根据实际情况调整一、二等奖获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奖比例，调整比例不得多于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2％。</w:t>
      </w:r>
    </w:p>
    <w:p>
      <w:pPr>
        <w:spacing w:before="298" w:line="274" w:lineRule="auto"/>
        <w:ind w:left="6" w:right="110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第十九条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确认资格有效的获奖作品，由竞赛组织委员会向作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者颁发获奖证书。</w:t>
      </w:r>
    </w:p>
    <w:p>
      <w:pPr>
        <w:spacing w:before="297" w:line="360" w:lineRule="auto"/>
        <w:ind w:right="110" w:firstLine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第二十条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sz w:val="32"/>
          <w:szCs w:val="32"/>
        </w:rPr>
        <w:t>竞赛以作品推荐学院/书院为单位计算参赛得分，总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分为所有参与计分项目数得分总和。参与计分项目数由组委会根据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各院系审查合格后的实际项目总数，按照分组确定参与计分项目名</w:t>
      </w:r>
      <w:r>
        <w:rPr>
          <w:rFonts w:ascii="仿宋" w:hAnsi="仿宋" w:eastAsia="仿宋" w:cs="仿宋"/>
          <w:spacing w:val="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额。</w:t>
      </w:r>
    </w:p>
    <w:p>
      <w:pPr>
        <w:spacing w:before="1" w:line="201" w:lineRule="auto"/>
        <w:ind w:firstLine="62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A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组单位：</w:t>
      </w:r>
      <w:r>
        <w:rPr>
          <w:rFonts w:ascii="仿宋" w:hAnsi="仿宋" w:eastAsia="仿宋" w:cs="仿宋"/>
          <w:spacing w:val="6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宇航学院、机电学院、机械与车辆学院、光电学院、</w:t>
      </w:r>
    </w:p>
    <w:p>
      <w:pPr>
        <w:spacing w:before="274" w:line="360" w:lineRule="auto"/>
        <w:ind w:left="7" w:right="110" w:hanging="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信息与电子学院、</w:t>
      </w:r>
      <w:r>
        <w:rPr>
          <w:rFonts w:ascii="仿宋" w:hAnsi="仿宋" w:eastAsia="仿宋" w:cs="仿宋"/>
          <w:spacing w:val="-7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自动化学院、计算机学院、材料学院、化学与化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工学院、生命学院、精工书院、睿信书院、求是书院</w:t>
      </w:r>
    </w:p>
    <w:p>
      <w:pPr>
        <w:spacing w:before="1" w:line="201" w:lineRule="auto"/>
        <w:ind w:firstLine="6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B</w:t>
      </w:r>
      <w:r>
        <w:rPr>
          <w:rFonts w:ascii="仿宋" w:hAnsi="仿宋" w:eastAsia="仿宋" w:cs="仿宋"/>
          <w:spacing w:val="-3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组单位：</w:t>
      </w:r>
      <w:r>
        <w:rPr>
          <w:rFonts w:ascii="仿宋" w:hAnsi="仿宋" w:eastAsia="仿宋" w:cs="仿宋"/>
          <w:spacing w:val="7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数学与统计学院、物理学院、管理与经济学院、人</w:t>
      </w:r>
    </w:p>
    <w:p>
      <w:pPr>
        <w:sectPr>
          <w:footerReference r:id="rId11" w:type="default"/>
          <w:pgSz w:w="11906" w:h="16839"/>
          <w:pgMar w:top="1431" w:right="1137" w:bottom="1767" w:left="1380" w:header="0" w:footer="1545" w:gutter="0"/>
          <w:cols w:space="720" w:num="1"/>
        </w:sectPr>
      </w:pPr>
    </w:p>
    <w:p>
      <w:pPr>
        <w:spacing w:before="310" w:line="303" w:lineRule="auto"/>
        <w:ind w:left="24" w:right="1" w:hanging="1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文与社会科学学院、法学院、外语学院、设计与艺术学院、徐特立</w:t>
      </w:r>
      <w:r>
        <w:rPr>
          <w:rFonts w:ascii="仿宋" w:hAnsi="仿宋" w:eastAsia="仿宋" w:cs="仿宋"/>
          <w:spacing w:val="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学院、明德书院、经管书院、知艺书院、特立书院、北京书院、令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闻书院</w:t>
      </w:r>
    </w:p>
    <w:p>
      <w:pPr>
        <w:spacing w:line="142" w:lineRule="exact"/>
      </w:pPr>
    </w:p>
    <w:tbl>
      <w:tblPr>
        <w:tblStyle w:val="4"/>
        <w:tblW w:w="9268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2346"/>
        <w:gridCol w:w="1922"/>
        <w:gridCol w:w="29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446" w:type="dxa"/>
            <w:gridSpan w:val="2"/>
            <w:vAlign w:val="top"/>
          </w:tcPr>
          <w:p>
            <w:pPr>
              <w:spacing w:before="160" w:line="188" w:lineRule="auto"/>
              <w:ind w:firstLine="122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A</w:t>
            </w:r>
            <w:r>
              <w:rPr>
                <w:rFonts w:ascii="仿宋" w:hAnsi="仿宋" w:eastAsia="仿宋" w:cs="仿宋"/>
                <w:spacing w:val="-54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组学院/书院</w:t>
            </w:r>
          </w:p>
        </w:tc>
        <w:tc>
          <w:tcPr>
            <w:tcW w:w="1922" w:type="dxa"/>
            <w:vMerge w:val="restart"/>
            <w:tcBorders>
              <w:bottom w:val="nil"/>
            </w:tcBorders>
            <w:vAlign w:val="top"/>
          </w:tcPr>
          <w:p>
            <w:pPr>
              <w:spacing w:line="370" w:lineRule="auto"/>
              <w:rPr>
                <w:rFonts w:ascii="Times New Roman"/>
                <w:sz w:val="21"/>
              </w:rPr>
            </w:pPr>
          </w:p>
          <w:p>
            <w:pPr>
              <w:spacing w:before="104" w:line="188" w:lineRule="auto"/>
              <w:ind w:firstLine="12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5"/>
                <w:sz w:val="32"/>
                <w:szCs w:val="32"/>
              </w:rPr>
              <w:t>B</w:t>
            </w:r>
            <w:r>
              <w:rPr>
                <w:rFonts w:ascii="仿宋" w:hAnsi="仿宋" w:eastAsia="仿宋" w:cs="仿宋"/>
                <w:spacing w:val="-55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32"/>
                <w:szCs w:val="32"/>
              </w:rPr>
              <w:t>组学院/书</w:t>
            </w:r>
          </w:p>
          <w:p>
            <w:pPr>
              <w:spacing w:before="298" w:line="188" w:lineRule="auto"/>
              <w:ind w:firstLine="19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9"/>
                <w:sz w:val="32"/>
                <w:szCs w:val="32"/>
              </w:rPr>
              <w:t>院项目总数</w:t>
            </w:r>
          </w:p>
        </w:tc>
        <w:tc>
          <w:tcPr>
            <w:tcW w:w="2900" w:type="dxa"/>
            <w:vMerge w:val="restart"/>
            <w:tcBorders>
              <w:bottom w:val="nil"/>
            </w:tcBorders>
            <w:vAlign w:val="top"/>
          </w:tcPr>
          <w:p>
            <w:pPr>
              <w:spacing w:line="340" w:lineRule="auto"/>
              <w:rPr>
                <w:rFonts w:ascii="Times New Roman"/>
                <w:sz w:val="21"/>
              </w:rPr>
            </w:pPr>
          </w:p>
          <w:p>
            <w:pPr>
              <w:spacing w:line="340" w:lineRule="auto"/>
              <w:rPr>
                <w:rFonts w:ascii="Times New Roman"/>
                <w:sz w:val="21"/>
              </w:rPr>
            </w:pPr>
          </w:p>
          <w:p>
            <w:pPr>
              <w:spacing w:before="104" w:line="188" w:lineRule="auto"/>
              <w:ind w:firstLine="19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参与计分项目名额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100" w:type="dxa"/>
            <w:vAlign w:val="top"/>
          </w:tcPr>
          <w:p>
            <w:pPr>
              <w:spacing w:line="361" w:lineRule="auto"/>
              <w:rPr>
                <w:rFonts w:ascii="Times New Roman"/>
                <w:sz w:val="21"/>
              </w:rPr>
            </w:pPr>
          </w:p>
          <w:p>
            <w:pPr>
              <w:spacing w:before="104" w:line="188" w:lineRule="auto"/>
              <w:ind w:firstLine="42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项目总数</w:t>
            </w:r>
          </w:p>
        </w:tc>
        <w:tc>
          <w:tcPr>
            <w:tcW w:w="2346" w:type="dxa"/>
            <w:vAlign w:val="top"/>
          </w:tcPr>
          <w:p>
            <w:pPr>
              <w:spacing w:before="155" w:line="274" w:lineRule="auto"/>
              <w:ind w:left="714" w:right="210" w:hanging="48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科技发明制作</w:t>
            </w:r>
            <w:r>
              <w:rPr>
                <w:rFonts w:ascii="仿宋" w:hAnsi="仿宋" w:eastAsia="仿宋" w:cs="仿宋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32"/>
                <w:szCs w:val="32"/>
              </w:rPr>
              <w:t>类总数</w:t>
            </w:r>
          </w:p>
        </w:tc>
        <w:tc>
          <w:tcPr>
            <w:tcW w:w="19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Times New Roman"/>
                <w:sz w:val="21"/>
              </w:rPr>
            </w:pPr>
          </w:p>
        </w:tc>
        <w:tc>
          <w:tcPr>
            <w:tcW w:w="290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Times New Roman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00" w:type="dxa"/>
            <w:vAlign w:val="top"/>
          </w:tcPr>
          <w:p>
            <w:pPr>
              <w:spacing w:before="156" w:line="188" w:lineRule="auto"/>
              <w:ind w:firstLine="76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1"/>
                <w:sz w:val="32"/>
                <w:szCs w:val="32"/>
              </w:rPr>
              <w:t>≤14</w:t>
            </w:r>
          </w:p>
        </w:tc>
        <w:tc>
          <w:tcPr>
            <w:tcW w:w="2346" w:type="dxa"/>
            <w:vAlign w:val="top"/>
          </w:tcPr>
          <w:p>
            <w:pPr>
              <w:spacing w:before="156" w:line="188" w:lineRule="auto"/>
              <w:ind w:firstLine="51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3"/>
                <w:sz w:val="32"/>
                <w:szCs w:val="32"/>
              </w:rPr>
              <w:t>不少于</w:t>
            </w:r>
            <w:r>
              <w:rPr>
                <w:rFonts w:ascii="仿宋" w:hAnsi="仿宋" w:eastAsia="仿宋" w:cs="仿宋"/>
                <w:spacing w:val="-43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32"/>
                <w:szCs w:val="32"/>
              </w:rPr>
              <w:t>10</w:t>
            </w:r>
          </w:p>
        </w:tc>
        <w:tc>
          <w:tcPr>
            <w:tcW w:w="1922" w:type="dxa"/>
            <w:vAlign w:val="top"/>
          </w:tcPr>
          <w:p>
            <w:pPr>
              <w:spacing w:before="156" w:line="188" w:lineRule="auto"/>
              <w:ind w:firstLine="75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6"/>
                <w:w w:val="99"/>
                <w:sz w:val="32"/>
                <w:szCs w:val="32"/>
              </w:rPr>
              <w:t>≤9</w:t>
            </w:r>
          </w:p>
        </w:tc>
        <w:tc>
          <w:tcPr>
            <w:tcW w:w="2900" w:type="dxa"/>
            <w:vAlign w:val="top"/>
          </w:tcPr>
          <w:p>
            <w:pPr>
              <w:spacing w:before="210" w:line="180" w:lineRule="auto"/>
              <w:ind w:firstLine="138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00" w:type="dxa"/>
            <w:vAlign w:val="top"/>
          </w:tcPr>
          <w:p>
            <w:pPr>
              <w:spacing w:before="209" w:line="180" w:lineRule="auto"/>
              <w:ind w:firstLine="60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8"/>
                <w:sz w:val="32"/>
                <w:szCs w:val="32"/>
              </w:rPr>
              <w:t>15—29</w:t>
            </w:r>
          </w:p>
        </w:tc>
        <w:tc>
          <w:tcPr>
            <w:tcW w:w="2346" w:type="dxa"/>
            <w:vAlign w:val="top"/>
          </w:tcPr>
          <w:p>
            <w:pPr>
              <w:spacing w:before="155" w:line="188" w:lineRule="auto"/>
              <w:ind w:firstLine="51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3"/>
                <w:sz w:val="32"/>
                <w:szCs w:val="32"/>
              </w:rPr>
              <w:t>不少于</w:t>
            </w:r>
            <w:r>
              <w:rPr>
                <w:rFonts w:ascii="仿宋" w:hAnsi="仿宋" w:eastAsia="仿宋" w:cs="仿宋"/>
                <w:spacing w:val="-43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32"/>
                <w:szCs w:val="32"/>
              </w:rPr>
              <w:t>15</w:t>
            </w:r>
          </w:p>
        </w:tc>
        <w:tc>
          <w:tcPr>
            <w:tcW w:w="1922" w:type="dxa"/>
            <w:vAlign w:val="top"/>
          </w:tcPr>
          <w:p>
            <w:pPr>
              <w:spacing w:before="209" w:line="180" w:lineRule="auto"/>
              <w:ind w:firstLine="51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10—19</w:t>
            </w:r>
          </w:p>
        </w:tc>
        <w:tc>
          <w:tcPr>
            <w:tcW w:w="2900" w:type="dxa"/>
            <w:vAlign w:val="top"/>
          </w:tcPr>
          <w:p>
            <w:pPr>
              <w:spacing w:before="210" w:line="180" w:lineRule="auto"/>
              <w:ind w:firstLine="137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00" w:type="dxa"/>
            <w:vAlign w:val="top"/>
          </w:tcPr>
          <w:p>
            <w:pPr>
              <w:spacing w:before="210" w:line="180" w:lineRule="auto"/>
              <w:ind w:firstLine="585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30—44</w:t>
            </w:r>
          </w:p>
        </w:tc>
        <w:tc>
          <w:tcPr>
            <w:tcW w:w="2346" w:type="dxa"/>
            <w:vAlign w:val="top"/>
          </w:tcPr>
          <w:p>
            <w:pPr>
              <w:spacing w:before="156" w:line="188" w:lineRule="auto"/>
              <w:ind w:firstLine="51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0"/>
                <w:sz w:val="32"/>
                <w:szCs w:val="32"/>
              </w:rPr>
              <w:t>不少于</w:t>
            </w:r>
            <w:r>
              <w:rPr>
                <w:rFonts w:ascii="仿宋" w:hAnsi="仿宋" w:eastAsia="仿宋" w:cs="仿宋"/>
                <w:spacing w:val="-5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32"/>
                <w:szCs w:val="32"/>
              </w:rPr>
              <w:t>30</w:t>
            </w:r>
          </w:p>
        </w:tc>
        <w:tc>
          <w:tcPr>
            <w:tcW w:w="1922" w:type="dxa"/>
            <w:vAlign w:val="top"/>
          </w:tcPr>
          <w:p>
            <w:pPr>
              <w:spacing w:before="210" w:line="180" w:lineRule="auto"/>
              <w:ind w:firstLine="493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"/>
                <w:sz w:val="32"/>
                <w:szCs w:val="32"/>
              </w:rPr>
              <w:t>20—29</w:t>
            </w:r>
          </w:p>
        </w:tc>
        <w:tc>
          <w:tcPr>
            <w:tcW w:w="2900" w:type="dxa"/>
            <w:vAlign w:val="top"/>
          </w:tcPr>
          <w:p>
            <w:pPr>
              <w:spacing w:before="213" w:line="180" w:lineRule="auto"/>
              <w:ind w:firstLine="138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100" w:type="dxa"/>
            <w:vAlign w:val="top"/>
          </w:tcPr>
          <w:p>
            <w:pPr>
              <w:spacing w:before="213" w:line="180" w:lineRule="auto"/>
              <w:ind w:firstLine="57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3"/>
                <w:sz w:val="32"/>
                <w:szCs w:val="32"/>
              </w:rPr>
              <w:t>45—69</w:t>
            </w:r>
          </w:p>
        </w:tc>
        <w:tc>
          <w:tcPr>
            <w:tcW w:w="2346" w:type="dxa"/>
            <w:vAlign w:val="top"/>
          </w:tcPr>
          <w:p>
            <w:pPr>
              <w:spacing w:before="159" w:line="188" w:lineRule="auto"/>
              <w:ind w:firstLine="51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8"/>
                <w:sz w:val="32"/>
                <w:szCs w:val="32"/>
              </w:rPr>
              <w:t>不少于</w:t>
            </w:r>
            <w:r>
              <w:rPr>
                <w:rFonts w:ascii="仿宋" w:hAnsi="仿宋" w:eastAsia="仿宋" w:cs="仿宋"/>
                <w:spacing w:val="-6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32"/>
                <w:szCs w:val="32"/>
              </w:rPr>
              <w:t>45</w:t>
            </w:r>
          </w:p>
        </w:tc>
        <w:tc>
          <w:tcPr>
            <w:tcW w:w="1922" w:type="dxa"/>
            <w:vAlign w:val="top"/>
          </w:tcPr>
          <w:p>
            <w:pPr>
              <w:spacing w:before="213" w:line="180" w:lineRule="auto"/>
              <w:ind w:firstLine="495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30—39</w:t>
            </w:r>
          </w:p>
        </w:tc>
        <w:tc>
          <w:tcPr>
            <w:tcW w:w="2900" w:type="dxa"/>
            <w:vAlign w:val="top"/>
          </w:tcPr>
          <w:p>
            <w:pPr>
              <w:spacing w:before="213" w:line="180" w:lineRule="auto"/>
              <w:ind w:firstLine="138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00" w:type="dxa"/>
            <w:vAlign w:val="top"/>
          </w:tcPr>
          <w:p>
            <w:pPr>
              <w:spacing w:before="212" w:line="180" w:lineRule="auto"/>
              <w:ind w:firstLine="58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5"/>
                <w:sz w:val="32"/>
                <w:szCs w:val="32"/>
              </w:rPr>
              <w:t>70—99</w:t>
            </w:r>
          </w:p>
        </w:tc>
        <w:tc>
          <w:tcPr>
            <w:tcW w:w="2346" w:type="dxa"/>
            <w:vAlign w:val="top"/>
          </w:tcPr>
          <w:p>
            <w:pPr>
              <w:spacing w:before="159" w:line="188" w:lineRule="auto"/>
              <w:ind w:firstLine="51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0"/>
                <w:sz w:val="32"/>
                <w:szCs w:val="32"/>
              </w:rPr>
              <w:t>不少于</w:t>
            </w:r>
            <w:r>
              <w:rPr>
                <w:rFonts w:ascii="仿宋" w:hAnsi="仿宋" w:eastAsia="仿宋" w:cs="仿宋"/>
                <w:spacing w:val="-57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32"/>
                <w:szCs w:val="32"/>
              </w:rPr>
              <w:t>70</w:t>
            </w:r>
          </w:p>
        </w:tc>
        <w:tc>
          <w:tcPr>
            <w:tcW w:w="1922" w:type="dxa"/>
            <w:vAlign w:val="top"/>
          </w:tcPr>
          <w:p>
            <w:pPr>
              <w:spacing w:before="212" w:line="180" w:lineRule="auto"/>
              <w:ind w:firstLine="48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40—49</w:t>
            </w:r>
          </w:p>
        </w:tc>
        <w:tc>
          <w:tcPr>
            <w:tcW w:w="2900" w:type="dxa"/>
            <w:vAlign w:val="top"/>
          </w:tcPr>
          <w:p>
            <w:pPr>
              <w:spacing w:before="216" w:line="180" w:lineRule="auto"/>
              <w:ind w:firstLine="1385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100" w:type="dxa"/>
            <w:vAlign w:val="top"/>
          </w:tcPr>
          <w:p>
            <w:pPr>
              <w:spacing w:before="159" w:line="188" w:lineRule="auto"/>
              <w:ind w:firstLine="69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1"/>
                <w:sz w:val="32"/>
                <w:szCs w:val="32"/>
              </w:rPr>
              <w:t>≥100</w:t>
            </w:r>
          </w:p>
        </w:tc>
        <w:tc>
          <w:tcPr>
            <w:tcW w:w="2346" w:type="dxa"/>
            <w:vAlign w:val="top"/>
          </w:tcPr>
          <w:p>
            <w:pPr>
              <w:spacing w:before="159" w:line="188" w:lineRule="auto"/>
              <w:ind w:firstLine="51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9"/>
                <w:sz w:val="32"/>
                <w:szCs w:val="32"/>
              </w:rPr>
              <w:t>不少于</w:t>
            </w:r>
            <w:r>
              <w:rPr>
                <w:rFonts w:ascii="仿宋" w:hAnsi="仿宋" w:eastAsia="仿宋" w:cs="仿宋"/>
                <w:spacing w:val="-62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32"/>
                <w:szCs w:val="32"/>
              </w:rPr>
              <w:t>80</w:t>
            </w:r>
          </w:p>
        </w:tc>
        <w:tc>
          <w:tcPr>
            <w:tcW w:w="1922" w:type="dxa"/>
            <w:vAlign w:val="top"/>
          </w:tcPr>
          <w:p>
            <w:pPr>
              <w:spacing w:before="159" w:line="188" w:lineRule="auto"/>
              <w:ind w:firstLine="68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5"/>
                <w:sz w:val="32"/>
                <w:szCs w:val="32"/>
              </w:rPr>
              <w:t>≥50</w:t>
            </w:r>
          </w:p>
        </w:tc>
        <w:tc>
          <w:tcPr>
            <w:tcW w:w="2900" w:type="dxa"/>
            <w:vAlign w:val="top"/>
          </w:tcPr>
          <w:p>
            <w:pPr>
              <w:spacing w:before="213" w:line="180" w:lineRule="auto"/>
              <w:ind w:firstLine="137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8</w:t>
            </w:r>
          </w:p>
        </w:tc>
      </w:tr>
    </w:tbl>
    <w:p>
      <w:pPr>
        <w:spacing w:before="154" w:line="188" w:lineRule="auto"/>
        <w:ind w:firstLine="6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参与计分项目的分数核算办法：</w:t>
      </w:r>
    </w:p>
    <w:p>
      <w:pPr>
        <w:spacing w:before="298" w:line="188" w:lineRule="auto"/>
        <w:ind w:firstLine="61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“世纪杯”学生学术科技作品竞赛项目得分满分为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800</w:t>
      </w:r>
      <w:r>
        <w:rPr>
          <w:rFonts w:ascii="仿宋" w:hAnsi="仿宋" w:eastAsia="仿宋" w:cs="仿宋"/>
          <w:spacing w:val="-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分。</w:t>
      </w:r>
    </w:p>
    <w:p>
      <w:pPr>
        <w:spacing w:before="297" w:line="360" w:lineRule="auto"/>
        <w:ind w:right="1" w:firstLine="66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每项获奖作品得分为：</w:t>
      </w:r>
      <w:r>
        <w:rPr>
          <w:rFonts w:ascii="仿宋" w:hAnsi="仿宋" w:eastAsia="仿宋" w:cs="仿宋"/>
          <w:spacing w:val="10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特等奖</w:t>
      </w:r>
      <w:r>
        <w:rPr>
          <w:rFonts w:ascii="仿宋" w:hAnsi="仿宋" w:eastAsia="仿宋" w:cs="仿宋"/>
          <w:spacing w:val="-3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100</w:t>
      </w:r>
      <w:r>
        <w:rPr>
          <w:rFonts w:ascii="仿宋" w:hAnsi="仿宋" w:eastAsia="仿宋" w:cs="仿宋"/>
          <w:spacing w:val="-4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分，一等奖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70</w:t>
      </w:r>
      <w:r>
        <w:rPr>
          <w:rFonts w:ascii="仿宋" w:hAnsi="仿宋" w:eastAsia="仿宋" w:cs="仿宋"/>
          <w:spacing w:val="-4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分，二等奖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40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分，三等奖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10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分。</w:t>
      </w:r>
    </w:p>
    <w:p>
      <w:pPr>
        <w:spacing w:before="1" w:line="204" w:lineRule="auto"/>
        <w:ind w:firstLine="66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哲学社会科学类获奖作品得分为：</w:t>
      </w:r>
      <w:r>
        <w:rPr>
          <w:rFonts w:ascii="仿宋" w:hAnsi="仿宋" w:eastAsia="仿宋" w:cs="仿宋"/>
          <w:spacing w:val="9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特等奖</w:t>
      </w:r>
      <w:r>
        <w:rPr>
          <w:rFonts w:ascii="仿宋" w:hAnsi="仿宋" w:eastAsia="仿宋" w:cs="仿宋"/>
          <w:spacing w:val="-3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100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分，一等奖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50</w:t>
      </w:r>
    </w:p>
    <w:p>
      <w:pPr>
        <w:spacing w:before="270" w:line="188" w:lineRule="auto"/>
        <w:ind w:firstLine="1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分，二等奖</w:t>
      </w:r>
      <w:r>
        <w:rPr>
          <w:rFonts w:ascii="仿宋" w:hAnsi="仿宋" w:eastAsia="仿宋" w:cs="仿宋"/>
          <w:spacing w:val="-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20</w:t>
      </w:r>
      <w:r>
        <w:rPr>
          <w:rFonts w:ascii="仿宋" w:hAnsi="仿宋" w:eastAsia="仿宋" w:cs="仿宋"/>
          <w:spacing w:val="-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分，三等奖不算分。</w:t>
      </w:r>
    </w:p>
    <w:p>
      <w:pPr>
        <w:spacing w:before="298" w:line="360" w:lineRule="auto"/>
        <w:ind w:left="16" w:right="3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第二十一条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获奖项目作者有责任和义务在学校相关部门的组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织下，参加科技展示、科普展览等各类大学生科技创新活动。</w:t>
      </w:r>
    </w:p>
    <w:p>
      <w:pPr>
        <w:spacing w:line="204" w:lineRule="auto"/>
        <w:ind w:firstLine="35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第五章</w:t>
      </w:r>
      <w:r>
        <w:rPr>
          <w:rFonts w:ascii="仿宋" w:hAnsi="仿宋" w:eastAsia="仿宋" w:cs="仿宋"/>
          <w:spacing w:val="2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4"/>
          <w:sz w:val="32"/>
          <w:szCs w:val="32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则</w:t>
      </w:r>
    </w:p>
    <w:p>
      <w:pPr>
        <w:sectPr>
          <w:footerReference r:id="rId12" w:type="default"/>
          <w:pgSz w:w="11906" w:h="16839"/>
          <w:pgMar w:top="1431" w:right="1246" w:bottom="1767" w:left="1370" w:header="0" w:footer="1544" w:gutter="0"/>
          <w:cols w:space="720" w:num="1"/>
        </w:sectPr>
      </w:pPr>
    </w:p>
    <w:p>
      <w:pPr>
        <w:spacing w:before="308" w:line="326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第二十二条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对获奖的作品，竞赛结束后保留一个月的质疑投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诉期。若收到投诉，竞赛组委会将委托有关部门进行调查。经调查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确认该作品资格不符，取消该作品获得的奖励，重新计算作者所在</w:t>
      </w:r>
      <w:r>
        <w:rPr>
          <w:rFonts w:ascii="仿宋" w:hAnsi="仿宋" w:eastAsia="仿宋" w:cs="仿宋"/>
          <w:spacing w:val="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学院/书院总分及名次，取消该学院所获的优秀组织奖；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并视情节轻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重，根据相关规定分别给予作者和其他有关人员相应的处罚。</w:t>
      </w:r>
    </w:p>
    <w:p>
      <w:pPr>
        <w:spacing w:before="297" w:line="360" w:lineRule="auto"/>
        <w:ind w:left="10" w:firstLine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第二十三条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本章程自北京理工大学“世纪杯”竞赛组织委员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会审议通过之日起生效，本条例解释权归“世纪杯”竞赛组织委员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会所有。</w:t>
      </w:r>
    </w:p>
    <w:p>
      <w:pPr>
        <w:sectPr>
          <w:footerReference r:id="rId13" w:type="default"/>
          <w:pgSz w:w="11906" w:h="16839"/>
          <w:pgMar w:top="1431" w:right="1247" w:bottom="1767" w:left="1381" w:header="0" w:footer="1545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2" w:lineRule="exact"/>
      <w:ind w:firstLine="4147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  <w:r>
      <w:rPr>
        <w:rFonts w:ascii="等线" w:hAnsi="等线" w:eastAsia="等线" w:cs="等线"/>
        <w:spacing w:val="-48"/>
        <w:position w:val="-2"/>
        <w:sz w:val="32"/>
        <w:szCs w:val="32"/>
      </w:rPr>
      <w:t xml:space="preserve"> </w:t>
    </w:r>
    <w:r>
      <w:rPr>
        <w:rFonts w:ascii="Times New Roman" w:hAnsi="Times New Roman" w:eastAsia="Times New Roman" w:cs="Times New Roman"/>
        <w:spacing w:val="-10"/>
        <w:position w:val="-2"/>
        <w:sz w:val="32"/>
        <w:szCs w:val="32"/>
      </w:rPr>
      <w:t>10</w:t>
    </w: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8" w:lineRule="exact"/>
      <w:ind w:firstLine="4155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2"/>
        <w:position w:val="-2"/>
        <w:sz w:val="32"/>
        <w:szCs w:val="32"/>
      </w:rPr>
      <w:t>—</w:t>
    </w:r>
    <w:r>
      <w:rPr>
        <w:rFonts w:ascii="等线" w:hAnsi="等线" w:eastAsia="等线" w:cs="等线"/>
        <w:spacing w:val="-50"/>
        <w:position w:val="-2"/>
        <w:sz w:val="32"/>
        <w:szCs w:val="32"/>
      </w:rPr>
      <w:t xml:space="preserve"> </w:t>
    </w:r>
    <w:r>
      <w:rPr>
        <w:rFonts w:ascii="Times New Roman" w:hAnsi="Times New Roman" w:eastAsia="Times New Roman" w:cs="Times New Roman"/>
        <w:spacing w:val="-12"/>
        <w:position w:val="-2"/>
        <w:sz w:val="32"/>
        <w:szCs w:val="32"/>
      </w:rPr>
      <w:t>11</w:t>
    </w:r>
    <w:r>
      <w:rPr>
        <w:rFonts w:ascii="等线" w:hAnsi="等线" w:eastAsia="等线" w:cs="等线"/>
        <w:spacing w:val="-12"/>
        <w:position w:val="-2"/>
        <w:sz w:val="32"/>
        <w:szCs w:val="32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8" w:lineRule="exact"/>
      <w:ind w:firstLine="4148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  <w:r>
      <w:rPr>
        <w:rFonts w:ascii="等线" w:hAnsi="等线" w:eastAsia="等线" w:cs="等线"/>
        <w:spacing w:val="-48"/>
        <w:position w:val="-2"/>
        <w:sz w:val="32"/>
        <w:szCs w:val="32"/>
      </w:rPr>
      <w:t xml:space="preserve"> </w:t>
    </w:r>
    <w:r>
      <w:rPr>
        <w:rFonts w:ascii="Times New Roman" w:hAnsi="Times New Roman" w:eastAsia="Times New Roman" w:cs="Times New Roman"/>
        <w:spacing w:val="-10"/>
        <w:position w:val="-2"/>
        <w:sz w:val="32"/>
        <w:szCs w:val="32"/>
      </w:rPr>
      <w:t>12</w:t>
    </w: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2" w:lineRule="exact"/>
      <w:ind w:firstLine="4147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  <w:r>
      <w:rPr>
        <w:rFonts w:ascii="等线" w:hAnsi="等线" w:eastAsia="等线" w:cs="等线"/>
        <w:spacing w:val="-48"/>
        <w:position w:val="-2"/>
        <w:sz w:val="32"/>
        <w:szCs w:val="32"/>
      </w:rPr>
      <w:t xml:space="preserve"> </w:t>
    </w:r>
    <w:r>
      <w:rPr>
        <w:rFonts w:ascii="Times New Roman" w:hAnsi="Times New Roman" w:eastAsia="Times New Roman" w:cs="Times New Roman"/>
        <w:spacing w:val="-10"/>
        <w:position w:val="-2"/>
        <w:sz w:val="32"/>
        <w:szCs w:val="32"/>
      </w:rPr>
      <w:t>13</w:t>
    </w: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8" w:lineRule="exact"/>
      <w:ind w:firstLine="4151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  <w:r>
      <w:rPr>
        <w:rFonts w:ascii="等线" w:hAnsi="等线" w:eastAsia="等线" w:cs="等线"/>
        <w:spacing w:val="-48"/>
        <w:position w:val="-2"/>
        <w:sz w:val="32"/>
        <w:szCs w:val="32"/>
      </w:rPr>
      <w:t xml:space="preserve"> </w:t>
    </w:r>
    <w:r>
      <w:rPr>
        <w:rFonts w:ascii="Times New Roman" w:hAnsi="Times New Roman" w:eastAsia="Times New Roman" w:cs="Times New Roman"/>
        <w:spacing w:val="-10"/>
        <w:position w:val="-2"/>
        <w:sz w:val="32"/>
        <w:szCs w:val="32"/>
      </w:rPr>
      <w:t>14</w:t>
    </w: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2" w:lineRule="exact"/>
      <w:ind w:firstLine="4148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  <w:r>
      <w:rPr>
        <w:rFonts w:ascii="等线" w:hAnsi="等线" w:eastAsia="等线" w:cs="等线"/>
        <w:spacing w:val="-48"/>
        <w:position w:val="-2"/>
        <w:sz w:val="32"/>
        <w:szCs w:val="32"/>
      </w:rPr>
      <w:t xml:space="preserve"> </w:t>
    </w:r>
    <w:r>
      <w:rPr>
        <w:rFonts w:ascii="Times New Roman" w:hAnsi="Times New Roman" w:eastAsia="Times New Roman" w:cs="Times New Roman"/>
        <w:spacing w:val="-10"/>
        <w:position w:val="-2"/>
        <w:sz w:val="32"/>
        <w:szCs w:val="32"/>
      </w:rPr>
      <w:t>15</w:t>
    </w: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2" w:lineRule="exact"/>
      <w:ind w:firstLine="4148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  <w:r>
      <w:rPr>
        <w:rFonts w:ascii="等线" w:hAnsi="等线" w:eastAsia="等线" w:cs="等线"/>
        <w:spacing w:val="-48"/>
        <w:position w:val="-2"/>
        <w:sz w:val="32"/>
        <w:szCs w:val="32"/>
      </w:rPr>
      <w:t xml:space="preserve"> </w:t>
    </w:r>
    <w:r>
      <w:rPr>
        <w:rFonts w:ascii="Times New Roman" w:hAnsi="Times New Roman" w:eastAsia="Times New Roman" w:cs="Times New Roman"/>
        <w:spacing w:val="-10"/>
        <w:position w:val="-2"/>
        <w:sz w:val="32"/>
        <w:szCs w:val="32"/>
      </w:rPr>
      <w:t>16</w:t>
    </w: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2" w:lineRule="exact"/>
      <w:ind w:firstLine="4158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  <w:r>
      <w:rPr>
        <w:rFonts w:ascii="等线" w:hAnsi="等线" w:eastAsia="等线" w:cs="等线"/>
        <w:spacing w:val="-48"/>
        <w:position w:val="-2"/>
        <w:sz w:val="32"/>
        <w:szCs w:val="32"/>
      </w:rPr>
      <w:t xml:space="preserve"> </w:t>
    </w:r>
    <w:r>
      <w:rPr>
        <w:rFonts w:ascii="Times New Roman" w:hAnsi="Times New Roman" w:eastAsia="Times New Roman" w:cs="Times New Roman"/>
        <w:spacing w:val="-10"/>
        <w:position w:val="-2"/>
        <w:sz w:val="32"/>
        <w:szCs w:val="32"/>
      </w:rPr>
      <w:t>17</w:t>
    </w: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2" w:lineRule="exact"/>
      <w:ind w:firstLine="4147"/>
      <w:rPr>
        <w:rFonts w:ascii="等线" w:hAnsi="等线" w:eastAsia="等线" w:cs="等线"/>
        <w:sz w:val="32"/>
        <w:szCs w:val="32"/>
      </w:rPr>
    </w:pP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  <w:r>
      <w:rPr>
        <w:rFonts w:ascii="等线" w:hAnsi="等线" w:eastAsia="等线" w:cs="等线"/>
        <w:spacing w:val="-48"/>
        <w:position w:val="-2"/>
        <w:sz w:val="32"/>
        <w:szCs w:val="32"/>
      </w:rPr>
      <w:t xml:space="preserve"> </w:t>
    </w:r>
    <w:r>
      <w:rPr>
        <w:rFonts w:ascii="Times New Roman" w:hAnsi="Times New Roman" w:eastAsia="Times New Roman" w:cs="Times New Roman"/>
        <w:spacing w:val="-10"/>
        <w:position w:val="-2"/>
        <w:sz w:val="32"/>
        <w:szCs w:val="32"/>
      </w:rPr>
      <w:t>18</w:t>
    </w:r>
    <w:r>
      <w:rPr>
        <w:rFonts w:ascii="等线" w:hAnsi="等线" w:eastAsia="等线" w:cs="等线"/>
        <w:spacing w:val="-10"/>
        <w:position w:val="-2"/>
        <w:sz w:val="32"/>
        <w:szCs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B43E9"/>
    <w:rsid w:val="0D7B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2022-03-16T03:44:00Z</dcterms:created>
  <dc:creator>HIJK</dc:creator>
  <cp:lastModifiedBy>HIJK</cp:lastModifiedBy>
  <dcterms:modified xsi:type="dcterms:W3CDTF">2022-03-16T04:01:16Z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F15541D06B384D0ABE9F00F995891018</vt:lpwstr>
  </property>
</Properties>
</file>